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V 18 39 vom 19. Dezember 2025</w:t>
      </w:r>
    </w:p>
    <w:p>
      <w:r>
        <w:t>UR Obergericht, 2025-12-19, DE</w:t>
      </w:r>
    </w:p>
    <w:p>
      <w:r>
        <w:rPr>
          <w:b/>
        </w:rPr>
        <w:t xml:space="preserve">Quelle: </w:t>
      </w:r>
      <w:r>
        <w:t>https://mcp.opencaselaw.ch/entscheid/ur_gerichte_OG V 18 39</w:t>
      </w:r>
    </w:p>
    <w:p>
      <w:r>
        <w:t>FR: UR_GERICHTE OG V 18 39 du 19 décembre 2025</w:t>
      </w:r>
    </w:p>
    <w:p>
      <w:r>
        <w:t>IT: UR_GERICHTE OG V 18 39 del 19 dicembre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Obergericht beurteilt auf verwaltungsrechtliche Klage hin als einzige Instanz Streitigkeiten aus dem Bundesrecht, namentlich aus dem Sozialversicherungsrecht, soweit für sie nach dem eidgenössi- schen oder kantonalen Recht der Klageweg vorgesehen ist (Art. 66 lit. e Verordnung über die Verwal- tungsrechtspflege [VRPV, RB 2.2345]). Gemäss Art. 89 Abs. 1 Bundesgesetz über die Krankenversiche- rung (KVG, SR 832.10) sind Streitigkeiten zwischen Versicherern und Leistungserbringern durch ein Schiedsgericht zu entscheiden. Die Kantone können die Aufgaben des Schiedsgerichts dem kantonalen Versicherungsgericht übertragen (Art. 89 Abs. 4 Satz 3 KVG), was der Kanton Uri getan hat (Art. 14 Abs. 1 Verordnung zum Bundesgesetz über die Krankenversicherung [RB 20.2202]). Kantonales Versi- cherungsgericht ist das Obergericht (Art. 13 Abs. 1 Verordnung zum Bundesgesetz über die Kranken- versicherung). Das Verfahren vor dem Versicherungsgericht und vor dem Schiedsgericht richtet sich nach der VRPV, soweit die Bundesgesetzgebung über die Krankenversicherung und die Zivilprozess-</w:t>
      </w:r>
    </w:p>
    <w:p>
      <w:r>
        <w:t>Seite 4 von 5 ordnung nichts anderes bestimmen (Art. 15 Abs. 1 Verordnung zum Bundesgesetz über die Kranken- versicherung).</w:t>
      </w:r>
    </w:p>
    <w:p>
      <w:r>
        <w:rPr>
          <w:b/>
        </w:rPr>
        <w:t>E. 1.2</w:t>
      </w:r>
    </w:p>
    <w:p>
      <w:r>
        <w:t>Das Klageverfahren war längere Zeit sistiert. Im Vergleich zum Zeitpunkt der Klageeinreichung haben sich bis zum heutigen Zeitpunkt folgende Veränderungen ergeben: Die B.___ SA hat gemäss Handelsregisterauszug per 4. Februar 2025 (SHAB-Datum) durch Fusion die Aktiven und Passiven der T.___ SA übernommen. Aus diesem Grund werden im Rubrum des vorliegenden Entscheids die B.___ SA und T.___ SA nicht mehr (wie im Rahmen der Verfahrensinstruktion) als separate Parteien aufgeführt, sondern nur noch die B.___ SA. Die U.___ AG wurde gemäss Handelsregisterauszug per 8. Januar 2025 (SHAB-Datum) nach Beendigung der Liquidation gelöscht. Im Rahmen der Fusion der H.___ AG mit einer anderen Krankenversicherungsgesellschaft wurden von der H.___ AG von der U.___ AG mit wirtschaftlicher und steuerlicher Wirkung per 1. Januar 2024 auf dem Weg der Vermö- gensübertragung gemäss Art. 69 ff. Fusionsgesetz (FusG, SR 221.301) gewisse Aktiven und gewisse Passiven (Fremdkapital) übernommen (vgl. Handelsregisterauszug H.___ AG, öffentlich zugängliche Belege zur Mutation vom 05.01.2024 [Fusion]). Aus diesem Grund werden im Rubrum des vorliegen- den Entscheids die H.___ AG und die U.___ AG ebenfalls nicht mehr als separate Parteien aufgeführt, sondern nur noch die H.___ AG. Die V.___ AG hat sich gemäss Handelsregisterauszug per 17. Novem- ber 2025 (SHAB-Datum) in W.___ AG umbenannt. Entsprechend erfolgt die Korrektur bzw. der Hinweis im Rubrum. Des Weiteren hat sich X.___ in Y.___ umbenannt. Entsprechend erfolgt auch hier die Kor- rektur bzw. der Hinweis im Rubrum.</w:t>
      </w:r>
    </w:p>
    <w:p>
      <w:r>
        <w:rPr>
          <w:b/>
        </w:rPr>
        <w:t>E. 1.3</w:t>
      </w:r>
    </w:p>
    <w:p>
      <w:r>
        <w:t>Die Parteien teilen dem Gericht mit, dass sie sich in der betreffenden Streitigkeit vergleichsweise geeinigt hätten und beantragen die Abschreibung des Klageverfahrens. Damit entfällt das schutzwür- dige Interesse an der Beurteilung der eingereichten Klage (vgl. Art. 74 i.V.m. Art. 46 Abs. 1 lit. a VRPV). Diese ist als gegenstandslos geworden am Geschäftsprotokoll abzuschreiben. Für Prozessentscheide ohne Sachurteil ist die Vorsitzende der Abteilung zuständig (Art. 37g i.V.m. Art. 25a Abs. 3 lit. b Ge- richtsorganisationsgesetz [GOG, RB 2.3221]).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Eine Parteientschädigung wird nicht zugesprochen.</w:t>
      </w:r>
    </w:p>
    <w:p>
      <w:r>
        <w:rPr>
          <w:b/>
        </w:rPr>
        <w:t>E. 4</w:t>
      </w:r>
    </w:p>
    <w:p>
      <w:r>
        <w:t>Eröffnung:</w:t>
      </w:r>
    </w:p>
    <w:p>
      <w:r>
        <w:t>- Klägerinnen</w:t>
      </w:r>
    </w:p>
    <w:p>
      <w:r>
        <w:t>- Beklagte</w:t>
      </w:r>
    </w:p>
    <w:p>
      <w:r>
        <w:t>- Bundesamt für Gesundheit Altdorf, 19. Dezember 2025 OBERGERICHT DES KANTONS URI Verwaltungsrechtliche Abteilung Die Präsidentin Der Gerichtsschreiber</w:t>
      </w:r>
    </w:p>
    <w:p>
      <w:r>
        <w:t>Rechtsmittelbelehrung Gegen diesen Entscheid kann Beschwerde in öffentlich-rechtlichen Angelegenheiten erhoben werden. Die Beschwerde ist innert 30 Tagen nach der Eröffnung der vollständigen Ausfertigung beim Bundes- gericht, Schweizerhofquai 6, 6004 Luzern, in der in Art. 42 Bundesgesetz über das Bundesgericht (Bun- desgerichtsgesetz [BGG, SR 173.110]) vorgeschriebenen Weise schriftlich einzureichen. Die Beschwer- delegitimation und die zulässigen Beschwerdegründe richten sich nach den massgeblichen Bestim- mungen des BGG.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